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0065" w:type="dxa"/>
        <w:tblInd w:w="-572" w:type="dxa"/>
        <w:tblLook w:val="04A0" w:firstRow="1" w:lastRow="0" w:firstColumn="1" w:lastColumn="0" w:noHBand="0" w:noVBand="1"/>
      </w:tblPr>
      <w:tblGrid>
        <w:gridCol w:w="1560"/>
        <w:gridCol w:w="8505"/>
      </w:tblGrid>
      <w:tr w:rsidR="0046607B" w14:paraId="37C6A203" w14:textId="77777777" w:rsidTr="4AA610B1">
        <w:tc>
          <w:tcPr>
            <w:tcW w:w="1560" w:type="dxa"/>
            <w:vAlign w:val="center"/>
          </w:tcPr>
          <w:p w14:paraId="0D5A35A8" w14:textId="175290A1" w:rsidR="0046607B" w:rsidRPr="009404C2" w:rsidRDefault="0046607B" w:rsidP="009404C2">
            <w:pPr>
              <w:jc w:val="center"/>
              <w:rPr>
                <w:b/>
                <w:bCs/>
              </w:rPr>
            </w:pPr>
            <w:bookmarkStart w:id="0" w:name="_Hlk164940051"/>
            <w:r w:rsidRPr="009404C2">
              <w:rPr>
                <w:b/>
                <w:bCs/>
              </w:rPr>
              <w:t xml:space="preserve">Axe </w:t>
            </w:r>
            <w:r w:rsidR="001279A2">
              <w:rPr>
                <w:b/>
                <w:bCs/>
              </w:rPr>
              <w:t>3</w:t>
            </w:r>
          </w:p>
        </w:tc>
        <w:tc>
          <w:tcPr>
            <w:tcW w:w="8505" w:type="dxa"/>
          </w:tcPr>
          <w:p w14:paraId="58C92614" w14:textId="1184C1C2" w:rsidR="0046607B" w:rsidRPr="00616B06" w:rsidRDefault="00EB27C7" w:rsidP="00025858">
            <w:pPr>
              <w:pStyle w:val="Default"/>
              <w:jc w:val="center"/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</w:pPr>
            <w:r w:rsidRPr="00616B0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Accompagnement des secteurs d’activité</w:t>
            </w:r>
            <w:r w:rsidR="00F8772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 xml:space="preserve"> non agricole</w:t>
            </w:r>
          </w:p>
        </w:tc>
      </w:tr>
      <w:tr w:rsidR="0046607B" w14:paraId="3E974957" w14:textId="77777777" w:rsidTr="4AA610B1">
        <w:tc>
          <w:tcPr>
            <w:tcW w:w="1560" w:type="dxa"/>
            <w:vAlign w:val="center"/>
          </w:tcPr>
          <w:p w14:paraId="5A421146" w14:textId="767F8668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 xml:space="preserve">Action </w:t>
            </w:r>
            <w:proofErr w:type="gramStart"/>
            <w:r w:rsidR="00FC6588">
              <w:rPr>
                <w:b/>
                <w:bCs/>
              </w:rPr>
              <w:t>1.a</w:t>
            </w:r>
            <w:proofErr w:type="gramEnd"/>
          </w:p>
        </w:tc>
        <w:tc>
          <w:tcPr>
            <w:tcW w:w="8505" w:type="dxa"/>
            <w:vAlign w:val="center"/>
          </w:tcPr>
          <w:p w14:paraId="5FC14560" w14:textId="77777777" w:rsidR="0046607B" w:rsidRPr="00616B06" w:rsidRDefault="002846C1" w:rsidP="00D94225">
            <w:pPr>
              <w:pStyle w:val="Default"/>
              <w:jc w:val="center"/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</w:pPr>
            <w:r w:rsidRPr="00616B0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Intégrer</w:t>
            </w:r>
            <w:r w:rsidR="00491EBC" w:rsidRPr="00616B0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 xml:space="preserve"> la préservation</w:t>
            </w:r>
            <w:r w:rsidRPr="00616B0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 xml:space="preserve"> </w:t>
            </w:r>
            <w:r w:rsidR="00491EBC" w:rsidRPr="00616B0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d</w:t>
            </w:r>
            <w:r w:rsidRPr="00616B0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es insectes pollinisateurs sauvages dans l’</w:t>
            </w:r>
            <w:r w:rsidR="001E2E50" w:rsidRPr="00616B0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a</w:t>
            </w:r>
            <w:r w:rsidR="00FB74B4" w:rsidRPr="00616B0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ménage</w:t>
            </w:r>
            <w:r w:rsidR="001E2E50" w:rsidRPr="00616B0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ment</w:t>
            </w:r>
            <w:r w:rsidR="00FB74B4" w:rsidRPr="00616B0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 xml:space="preserve"> et </w:t>
            </w:r>
            <w:r w:rsidR="001E2E50" w:rsidRPr="00616B0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 xml:space="preserve">la </w:t>
            </w:r>
            <w:r w:rsidR="00FB74B4" w:rsidRPr="00616B0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g</w:t>
            </w:r>
            <w:r w:rsidR="001E2E50" w:rsidRPr="00616B0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estion</w:t>
            </w:r>
            <w:r w:rsidR="00FB74B4" w:rsidRPr="00616B0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 xml:space="preserve"> </w:t>
            </w:r>
            <w:r w:rsidR="001E2E50" w:rsidRPr="00616B0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d</w:t>
            </w:r>
            <w:r w:rsidR="00FB74B4" w:rsidRPr="00616B0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 xml:space="preserve">es espaces urbains, </w:t>
            </w:r>
            <w:r w:rsidR="001E2E50" w:rsidRPr="00616B0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d</w:t>
            </w:r>
            <w:r w:rsidR="00FB74B4" w:rsidRPr="00616B0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 xml:space="preserve">es infrastructures linéaires, </w:t>
            </w:r>
            <w:r w:rsidR="001E2E50" w:rsidRPr="00616B0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d</w:t>
            </w:r>
            <w:r w:rsidR="00FB74B4" w:rsidRPr="00616B0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 xml:space="preserve">es grandes emprises foncières et </w:t>
            </w:r>
            <w:r w:rsidR="001E2E50" w:rsidRPr="00616B0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d</w:t>
            </w:r>
            <w:r w:rsidR="00FB74B4" w:rsidRPr="00616B06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es secteurs industriels</w:t>
            </w:r>
          </w:p>
          <w:p w14:paraId="339D8F82" w14:textId="4AC02FC3" w:rsidR="00051EE7" w:rsidRPr="00051EE7" w:rsidRDefault="00051EE7" w:rsidP="00D94225">
            <w:pPr>
              <w:pStyle w:val="Default"/>
              <w:jc w:val="center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 w:rsidRPr="00051EE7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- Rédacteur</w:t>
            </w:r>
            <w:r w:rsidR="00D8650F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s</w:t>
            </w:r>
            <w:r w:rsidRPr="00051EE7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FREDON </w:t>
            </w:r>
            <w:r w:rsidR="00143A17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GE </w:t>
            </w:r>
            <w:r w:rsidRPr="00051EE7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et Vinci autoroutes -</w:t>
            </w:r>
          </w:p>
        </w:tc>
      </w:tr>
      <w:tr w:rsidR="0046607B" w14:paraId="29833F62" w14:textId="77777777" w:rsidTr="4AA610B1">
        <w:tc>
          <w:tcPr>
            <w:tcW w:w="1560" w:type="dxa"/>
            <w:vAlign w:val="center"/>
          </w:tcPr>
          <w:p w14:paraId="4CE563A6" w14:textId="77777777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Priorité</w:t>
            </w:r>
          </w:p>
        </w:tc>
        <w:tc>
          <w:tcPr>
            <w:tcW w:w="8505" w:type="dxa"/>
          </w:tcPr>
          <w:p w14:paraId="172CB75E" w14:textId="246FEBE3" w:rsidR="0046607B" w:rsidRPr="00616B06" w:rsidRDefault="00FF6A62" w:rsidP="00906905">
            <w:r w:rsidRPr="00616B06">
              <w:t>1</w:t>
            </w:r>
          </w:p>
        </w:tc>
      </w:tr>
      <w:tr w:rsidR="0046607B" w14:paraId="2D98E5EA" w14:textId="77777777" w:rsidTr="4AA610B1">
        <w:tc>
          <w:tcPr>
            <w:tcW w:w="1560" w:type="dxa"/>
            <w:vAlign w:val="center"/>
          </w:tcPr>
          <w:p w14:paraId="6920D17E" w14:textId="77777777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Objectifs</w:t>
            </w:r>
          </w:p>
        </w:tc>
        <w:tc>
          <w:tcPr>
            <w:tcW w:w="8505" w:type="dxa"/>
          </w:tcPr>
          <w:p w14:paraId="7E3773A0" w14:textId="4BC483E5" w:rsidR="00972EA1" w:rsidRDefault="00972EA1" w:rsidP="00972EA1">
            <w:pPr>
              <w:jc w:val="both"/>
            </w:pPr>
            <w:r w:rsidRPr="00712D68">
              <w:rPr>
                <w:b/>
                <w:bCs/>
              </w:rPr>
              <w:t>Exploiter et/ou transformer le potentiel d’accueil de ces espaces tout en prenant en compte les contraintes d’usage et la sécurité</w:t>
            </w:r>
            <w:r w:rsidR="00A41271">
              <w:rPr>
                <w:b/>
                <w:bCs/>
              </w:rPr>
              <w:t xml:space="preserve"> : </w:t>
            </w:r>
          </w:p>
          <w:p w14:paraId="473824A2" w14:textId="407323DE" w:rsidR="009404C2" w:rsidRDefault="6E1B5947" w:rsidP="00BC3911">
            <w:pPr>
              <w:pStyle w:val="Paragraphedeliste"/>
              <w:numPr>
                <w:ilvl w:val="0"/>
                <w:numId w:val="7"/>
              </w:numPr>
              <w:jc w:val="both"/>
            </w:pPr>
            <w:r>
              <w:t>Adapter la gestion de ces espaces en prenant en compte à la fois les contraintes (sécurité, usages, pollutions antérieures…) et la préservation des pollinisateurs et de la biodiversité en général. Faire connaître les solutions les plus adaptées auprès des acteurs concernés.</w:t>
            </w:r>
          </w:p>
          <w:p w14:paraId="602C6841" w14:textId="16530E86" w:rsidR="00F40780" w:rsidRDefault="4AA610B1" w:rsidP="00BC3911">
            <w:pPr>
              <w:pStyle w:val="Paragraphedeliste"/>
              <w:numPr>
                <w:ilvl w:val="0"/>
                <w:numId w:val="7"/>
              </w:numPr>
              <w:jc w:val="both"/>
            </w:pPr>
            <w:r>
              <w:t xml:space="preserve">Intégrer, en amont de la conception de nouveaux aménagements, la préservation de ces espèces en favorisant leur accueil (habitats, alimentation) et prévoir une méthode d’entretien </w:t>
            </w:r>
            <w:r w:rsidR="00025858">
              <w:t xml:space="preserve">des structures d’accueil </w:t>
            </w:r>
            <w:r>
              <w:t>en cohérence avec cet objectif.</w:t>
            </w:r>
          </w:p>
          <w:p w14:paraId="789A23FA" w14:textId="417F8B92" w:rsidR="00BC3911" w:rsidRDefault="00F40780" w:rsidP="00BC3911">
            <w:pPr>
              <w:pStyle w:val="Paragraphedeliste"/>
              <w:numPr>
                <w:ilvl w:val="0"/>
                <w:numId w:val="7"/>
              </w:numPr>
              <w:jc w:val="both"/>
            </w:pPr>
            <w:r>
              <w:t xml:space="preserve">Intégrer l’installation d’espèces végétales adaptées et favorables </w:t>
            </w:r>
            <w:r w:rsidR="002F6CB7">
              <w:t>aux cycles</w:t>
            </w:r>
            <w:r>
              <w:t xml:space="preserve"> </w:t>
            </w:r>
            <w:r w:rsidR="00025858">
              <w:t>des pollinisateurs présents</w:t>
            </w:r>
            <w:r>
              <w:t>.</w:t>
            </w:r>
          </w:p>
          <w:p w14:paraId="0E892703" w14:textId="1436CD64" w:rsidR="00F40780" w:rsidRDefault="00F40780" w:rsidP="00BC3911">
            <w:pPr>
              <w:pStyle w:val="Paragraphedeliste"/>
              <w:numPr>
                <w:ilvl w:val="0"/>
                <w:numId w:val="7"/>
              </w:numPr>
              <w:jc w:val="both"/>
            </w:pPr>
            <w:r>
              <w:t>Mieux connaître les espèces présentes pour adapter les actions</w:t>
            </w:r>
            <w:r w:rsidR="00595613">
              <w:t xml:space="preserve"> d</w:t>
            </w:r>
            <w:r w:rsidR="004A54EE">
              <w:t>’aménagement et de gestion</w:t>
            </w:r>
            <w:r>
              <w:t xml:space="preserve"> et suivre leur évolution (impact des pratiques </w:t>
            </w:r>
            <w:r w:rsidR="002F6CB7">
              <w:t xml:space="preserve">mises en place </w:t>
            </w:r>
            <w:r>
              <w:t>sur leur cycle)</w:t>
            </w:r>
            <w:r w:rsidR="00A41271">
              <w:t>.</w:t>
            </w:r>
          </w:p>
          <w:p w14:paraId="60DA310F" w14:textId="7D35A571" w:rsidR="00A41271" w:rsidRDefault="00F40780" w:rsidP="00F90D8C">
            <w:pPr>
              <w:pStyle w:val="Paragraphedeliste"/>
              <w:numPr>
                <w:ilvl w:val="0"/>
                <w:numId w:val="7"/>
              </w:numPr>
              <w:jc w:val="both"/>
            </w:pPr>
            <w:r>
              <w:t>Lutter contre les espèces exotiques envahissantes défavorables aux espèces locales</w:t>
            </w:r>
            <w:r w:rsidR="00A41271">
              <w:t>.</w:t>
            </w:r>
          </w:p>
        </w:tc>
      </w:tr>
      <w:tr w:rsidR="0046607B" w14:paraId="6493FA08" w14:textId="77777777" w:rsidTr="4AA610B1">
        <w:tc>
          <w:tcPr>
            <w:tcW w:w="1560" w:type="dxa"/>
            <w:vAlign w:val="center"/>
          </w:tcPr>
          <w:p w14:paraId="5DB91733" w14:textId="77777777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Calendrier</w:t>
            </w:r>
          </w:p>
        </w:tc>
        <w:tc>
          <w:tcPr>
            <w:tcW w:w="8505" w:type="dxa"/>
          </w:tcPr>
          <w:p w14:paraId="20BBED86" w14:textId="44A1F80E" w:rsidR="00A41271" w:rsidRDefault="005D2C02" w:rsidP="00906905">
            <w:r>
              <w:t>Durée PNA en cours</w:t>
            </w:r>
          </w:p>
        </w:tc>
      </w:tr>
      <w:tr w:rsidR="0046607B" w14:paraId="0FE7E4B4" w14:textId="77777777" w:rsidTr="4AA610B1">
        <w:tc>
          <w:tcPr>
            <w:tcW w:w="1560" w:type="dxa"/>
            <w:vAlign w:val="center"/>
          </w:tcPr>
          <w:p w14:paraId="1BEBE245" w14:textId="77777777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Contexte</w:t>
            </w:r>
          </w:p>
        </w:tc>
        <w:tc>
          <w:tcPr>
            <w:tcW w:w="8505" w:type="dxa"/>
          </w:tcPr>
          <w:p w14:paraId="27FA445D" w14:textId="77777777" w:rsidR="007804F6" w:rsidRDefault="005D2C02" w:rsidP="00D56747">
            <w:pPr>
              <w:pStyle w:val="Default"/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 w:rsidRPr="007804F6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Les dépendances vertes </w:t>
            </w:r>
            <w:r w:rsidR="00642C23" w:rsidRPr="007804F6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au sein des</w:t>
            </w:r>
            <w:r w:rsidR="00642C23" w:rsidRPr="00FB74B4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espaces urbains, des infrastructures linéaires, des grandes emprises foncières et des secteurs industriels</w:t>
            </w:r>
            <w:r w:rsidRPr="007804F6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, abritent des milieux entièrement modelés par l’homme, qui ont été aménagés et gérés plus ou moins extensivement au cours des dernières décennies</w:t>
            </w:r>
            <w:r w:rsidR="00642C23" w:rsidRPr="007804F6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.</w:t>
            </w:r>
            <w:r w:rsidR="003C7865" w:rsidRPr="007804F6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</w:t>
            </w:r>
          </w:p>
          <w:p w14:paraId="4FC84010" w14:textId="77777777" w:rsidR="009404C2" w:rsidRDefault="007804F6" w:rsidP="00693321">
            <w:pPr>
              <w:pStyle w:val="Default"/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 w:rsidRPr="678AEF0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Un entretien </w:t>
            </w:r>
            <w:r w:rsidR="00015552" w:rsidRPr="678AEF0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différencié, voir</w:t>
            </w:r>
            <w:r w:rsidR="008C0015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e</w:t>
            </w:r>
            <w:r w:rsidR="00015552" w:rsidRPr="678AEF0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une transformation de certains espaces végétalisé</w:t>
            </w:r>
            <w:r w:rsidR="00D56747" w:rsidRPr="678AEF0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s</w:t>
            </w:r>
            <w:r w:rsidR="00015552" w:rsidRPr="678AEF0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</w:t>
            </w:r>
            <w:r w:rsidR="008C0015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contribuerait à </w:t>
            </w:r>
            <w:r w:rsidR="005D2C02" w:rsidRPr="678AEF0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restaurer des milieux </w:t>
            </w:r>
            <w:r w:rsidR="0069332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écologiquement </w:t>
            </w:r>
            <w:r w:rsidR="005D2C02" w:rsidRPr="678AEF0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fonctionnels</w:t>
            </w:r>
            <w:r w:rsidR="00D56747" w:rsidRPr="678AEF0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à destination des pollinisateurs.</w:t>
            </w:r>
          </w:p>
          <w:p w14:paraId="435430FB" w14:textId="4E2075C0" w:rsidR="009743D7" w:rsidRPr="006A506A" w:rsidRDefault="009743D7" w:rsidP="4AA610B1">
            <w:pPr>
              <w:pStyle w:val="Default"/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 w:rsidRPr="4AA610B1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Acteurs ciblés</w:t>
            </w:r>
            <w:r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 : </w:t>
            </w:r>
            <w:r w:rsidR="00D85FF2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gestionnaires d’espaces verts, de linéaires de route,</w:t>
            </w:r>
            <w:r w:rsidR="006C2010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de grandes emprises foncières,</w:t>
            </w:r>
            <w:r w:rsidR="00D85FF2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communes</w:t>
            </w:r>
            <w:r w:rsidR="006C2010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, conseils départementaux, entreprises.</w:t>
            </w:r>
          </w:p>
        </w:tc>
      </w:tr>
      <w:tr w:rsidR="0046607B" w14:paraId="2C672376" w14:textId="77777777" w:rsidTr="4AA610B1">
        <w:tc>
          <w:tcPr>
            <w:tcW w:w="1560" w:type="dxa"/>
            <w:vAlign w:val="center"/>
          </w:tcPr>
          <w:p w14:paraId="4E3D86DC" w14:textId="77777777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Description</w:t>
            </w:r>
          </w:p>
        </w:tc>
        <w:tc>
          <w:tcPr>
            <w:tcW w:w="8505" w:type="dxa"/>
          </w:tcPr>
          <w:p w14:paraId="286B6688" w14:textId="4A4A2584" w:rsidR="002F6CB7" w:rsidRDefault="00045287" w:rsidP="00616B06">
            <w:pPr>
              <w:pStyle w:val="Default"/>
              <w:numPr>
                <w:ilvl w:val="0"/>
                <w:numId w:val="12"/>
              </w:numPr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 w:rsidRPr="002F6CB7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Dans les e</w:t>
            </w:r>
            <w:r w:rsidR="009A73FB" w:rsidRPr="002F6CB7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spaces urbains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, il s’agira</w:t>
            </w:r>
            <w:r w:rsidR="002F6CB7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 :</w:t>
            </w:r>
            <w:r w:rsidR="00822C0D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</w:t>
            </w:r>
          </w:p>
          <w:p w14:paraId="519D3281" w14:textId="57A8593E" w:rsidR="005F7085" w:rsidRDefault="002F6CB7" w:rsidP="00616B06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D</w:t>
            </w:r>
            <w:r w:rsidR="00045287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’inciter</w:t>
            </w:r>
            <w:r w:rsidR="000014A6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techniquement et financièrement</w:t>
            </w:r>
            <w:r w:rsidR="00045287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</w:t>
            </w:r>
            <w:r w:rsidR="005F7085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les collectivités </w:t>
            </w:r>
            <w:r w:rsidR="00045287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à a</w:t>
            </w:r>
            <w:r w:rsidR="009A73FB" w:rsidRPr="006A506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ménage</w:t>
            </w:r>
            <w:r w:rsidR="005F7085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r</w:t>
            </w:r>
            <w:r w:rsidR="009A73FB" w:rsidRPr="006A506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</w:t>
            </w:r>
            <w:r w:rsidR="005F7085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leurs </w:t>
            </w:r>
            <w:r w:rsidR="009A73FB" w:rsidRPr="006A506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espaces verts</w:t>
            </w:r>
            <w:r w:rsidR="005F7085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en y intégrant des</w:t>
            </w:r>
            <w:r w:rsidR="009A73FB" w:rsidRPr="006A506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es</w:t>
            </w:r>
            <w:r w:rsidR="005F7085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pèces</w:t>
            </w:r>
            <w:r w:rsidR="009A73FB" w:rsidRPr="006A506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locales</w:t>
            </w:r>
            <w:r w:rsidR="005F7085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et favorables aux populations de pollinisateurs (choix de végétaux répondant au cycle de vie). </w:t>
            </w:r>
            <w:r w:rsidR="009A73FB" w:rsidRPr="006A506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</w:t>
            </w:r>
          </w:p>
          <w:p w14:paraId="0C426B7E" w14:textId="36E5E9C4" w:rsidR="000014A6" w:rsidRPr="006C2010" w:rsidRDefault="000014A6" w:rsidP="4AA610B1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D’inciter techniquement et financièrement </w:t>
            </w:r>
            <w:r w:rsidR="00025858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à </w:t>
            </w:r>
            <w:r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la mise </w:t>
            </w:r>
            <w:r w:rsidR="009A73FB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en place </w:t>
            </w:r>
            <w:r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d’</w:t>
            </w:r>
            <w:r w:rsidR="005F7085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une</w:t>
            </w:r>
            <w:r w:rsidR="009A73FB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gestion différenciée</w:t>
            </w:r>
            <w:r w:rsidR="005F7085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des espaces urbains, en adaptant les </w:t>
            </w:r>
            <w:r w:rsidR="009A73FB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cahier</w:t>
            </w:r>
            <w:r w:rsidR="005F7085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s</w:t>
            </w:r>
            <w:r w:rsidR="009A73FB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des charges</w:t>
            </w:r>
            <w:r w:rsidR="005F7085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pour les prestataires. Ainsi sera favorisé</w:t>
            </w:r>
            <w:r w:rsidR="002F6CB7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e</w:t>
            </w:r>
            <w:r w:rsidR="005F7085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</w:t>
            </w:r>
            <w:r w:rsidR="002F6CB7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une</w:t>
            </w:r>
            <w:r w:rsidR="009A73FB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gestion </w:t>
            </w:r>
            <w:r w:rsidR="005F7085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douce, telle que la mise en place de </w:t>
            </w:r>
            <w:r w:rsidR="009A73FB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fauche</w:t>
            </w:r>
            <w:r w:rsidR="005F7085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tardive</w:t>
            </w:r>
            <w:r w:rsidR="002F6CB7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, le port libre des ligneux</w:t>
            </w:r>
            <w:r w:rsidR="005F7085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ou la tonte différenciée</w:t>
            </w:r>
            <w:r w:rsidR="002F6CB7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. </w:t>
            </w:r>
          </w:p>
          <w:p w14:paraId="304BD49E" w14:textId="420FF553" w:rsidR="00672798" w:rsidRPr="006A506A" w:rsidRDefault="004227E7" w:rsidP="00616B06">
            <w:pPr>
              <w:pStyle w:val="Default"/>
              <w:numPr>
                <w:ilvl w:val="0"/>
                <w:numId w:val="12"/>
              </w:numPr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 w:rsidRPr="004227E7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Pour les i</w:t>
            </w:r>
            <w:r w:rsidR="00672798" w:rsidRPr="004227E7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nfrastructures linéaires</w:t>
            </w:r>
            <w:r w:rsidRPr="004227E7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 xml:space="preserve"> (routes, autoroutes, voies navigables, chemins de fer,</w:t>
            </w:r>
            <w:r w:rsidR="0049060E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 xml:space="preserve"> gestionnaire</w:t>
            </w:r>
            <w:r w:rsidR="003E7E40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s</w:t>
            </w:r>
            <w:r w:rsidR="0049060E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 xml:space="preserve"> d’énergie</w:t>
            </w:r>
            <w:r w:rsidR="003E7E40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…</w:t>
            </w:r>
            <w:r w:rsidRPr="004227E7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)</w:t>
            </w:r>
            <w:r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,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cela nécessitera :</w:t>
            </w:r>
          </w:p>
          <w:p w14:paraId="299740AC" w14:textId="77777777" w:rsidR="00CA2590" w:rsidRPr="00CA2590" w:rsidRDefault="00CA2590" w:rsidP="00616B06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 w:rsidRPr="00CA2590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De dresser un inventaire des pratiques d’entretien des gestionnaires et des problématiques (besoins en termes de sécurité par exemple). Proposer des points à faire apparaître dans les cahiers des charges d’entretien.</w:t>
            </w:r>
          </w:p>
          <w:p w14:paraId="2A98DEAD" w14:textId="77777777" w:rsidR="00CA2590" w:rsidRPr="00CA2590" w:rsidRDefault="00CA2590" w:rsidP="00616B06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 w:rsidRPr="00CA2590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Evaluer le potentiel des sites grâce à un protocole adapté.</w:t>
            </w:r>
          </w:p>
          <w:p w14:paraId="19838C92" w14:textId="15202508" w:rsidR="00672798" w:rsidRPr="006C2010" w:rsidRDefault="000014A6" w:rsidP="00616B06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De m</w:t>
            </w:r>
            <w:r w:rsidR="00672798" w:rsidRPr="006A506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ettre en place des pratiques de gestion différenciée (fauche tardive dans le respect de la sécurité</w:t>
            </w:r>
            <w:r w:rsidR="0049060E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/ usage / lutte obligatoire</w:t>
            </w:r>
            <w:r w:rsidR="00672798" w:rsidRPr="006A506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)</w:t>
            </w:r>
            <w:r w:rsidR="003E7E40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.</w:t>
            </w:r>
          </w:p>
          <w:p w14:paraId="14481339" w14:textId="7E632F9D" w:rsidR="001932F2" w:rsidRPr="001932F2" w:rsidRDefault="001932F2" w:rsidP="00616B06">
            <w:pPr>
              <w:pStyle w:val="Default"/>
              <w:numPr>
                <w:ilvl w:val="0"/>
                <w:numId w:val="12"/>
              </w:numPr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 w:rsidRPr="001932F2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Pour les g</w:t>
            </w:r>
            <w:r w:rsidR="00672798" w:rsidRPr="001932F2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randes emprises foncières (exemples : golfs, aéroports, carrières, terrains militaires</w:t>
            </w:r>
            <w:r w:rsidR="00EF5EEC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 xml:space="preserve">, </w:t>
            </w:r>
            <w:r w:rsidR="00672798" w:rsidRPr="001932F2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…)</w:t>
            </w:r>
            <w:r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 xml:space="preserve">, </w:t>
            </w:r>
            <w:r w:rsidRPr="001932F2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il s’agira :</w:t>
            </w:r>
          </w:p>
          <w:p w14:paraId="661CAFE8" w14:textId="796B365A" w:rsidR="00672798" w:rsidRPr="006A506A" w:rsidRDefault="001932F2" w:rsidP="00616B06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lastRenderedPageBreak/>
              <w:t>De r</w:t>
            </w:r>
            <w:r w:rsidR="00672798" w:rsidRPr="006A506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éaliser des inventaires et des suivis de populations d’espèces de pollinisateurs pour adapter la gestion au terrain </w:t>
            </w:r>
            <w:r w:rsidR="0035492E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suivant le </w:t>
            </w:r>
            <w:r w:rsidR="0035492E" w:rsidRPr="006A506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potentiel des sites</w:t>
            </w:r>
            <w:r w:rsidR="003E7E40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.</w:t>
            </w:r>
          </w:p>
          <w:p w14:paraId="7595352A" w14:textId="13D963B5" w:rsidR="00672798" w:rsidRPr="006C2010" w:rsidRDefault="0035492E" w:rsidP="003E7E40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De m</w:t>
            </w:r>
            <w:r w:rsidRPr="006A506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ettre en place des pratiques de gestion différenciée (fauche tardive dans le respect de la sécurité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/ usage / lutte obligatoire</w:t>
            </w:r>
            <w:r w:rsidRPr="006A506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)</w:t>
            </w:r>
            <w:r w:rsidR="003E7E40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.</w:t>
            </w:r>
          </w:p>
          <w:p w14:paraId="2A15A475" w14:textId="1A766E16" w:rsidR="001932F2" w:rsidRDefault="001932F2" w:rsidP="00616B06">
            <w:pPr>
              <w:pStyle w:val="Default"/>
              <w:numPr>
                <w:ilvl w:val="0"/>
                <w:numId w:val="12"/>
              </w:numPr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 w:rsidRPr="001932F2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Pour les s</w:t>
            </w:r>
            <w:r w:rsidR="00672798" w:rsidRPr="001932F2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ecteurs industriels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, cela nécessitera :</w:t>
            </w:r>
          </w:p>
          <w:p w14:paraId="0162989B" w14:textId="156FD3D0" w:rsidR="00672798" w:rsidRPr="006A506A" w:rsidRDefault="001932F2" w:rsidP="003E7E40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De communiquer pour m</w:t>
            </w:r>
            <w:r w:rsidR="00672798" w:rsidRPr="006A506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ettre en avant le potentiel des sites</w:t>
            </w:r>
            <w:r w:rsidR="003E7E40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.</w:t>
            </w:r>
          </w:p>
          <w:p w14:paraId="2289B1F8" w14:textId="2D6653F4" w:rsidR="00CD6E88" w:rsidRDefault="4AA610B1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4AA610B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D’e</w:t>
            </w:r>
            <w:r w:rsidR="004E1A18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ncourager à la mise en place de surfaces en gestion libre </w:t>
            </w:r>
            <w:r w:rsidR="00CD6E88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(</w:t>
            </w:r>
            <w:r w:rsidR="00672798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sans aucune intervention dans la mesure du possible)</w:t>
            </w:r>
            <w:r w:rsidR="00CD6E88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.</w:t>
            </w:r>
          </w:p>
          <w:p w14:paraId="4808465D" w14:textId="626AC0B5" w:rsidR="006A506A" w:rsidRPr="006C2010" w:rsidRDefault="00CD6E88" w:rsidP="4AA610B1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De mettre en place </w:t>
            </w:r>
            <w:r w:rsidR="00672798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des espaces favorables pour les pollinisateurs</w:t>
            </w:r>
            <w:r w:rsidR="003D1FB6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.</w:t>
            </w:r>
          </w:p>
          <w:p w14:paraId="75D691DA" w14:textId="6B5D7438" w:rsidR="001932F2" w:rsidRPr="001932F2" w:rsidRDefault="001932F2" w:rsidP="00616B06">
            <w:pPr>
              <w:pStyle w:val="Default"/>
              <w:numPr>
                <w:ilvl w:val="0"/>
                <w:numId w:val="12"/>
              </w:numPr>
              <w:jc w:val="both"/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</w:pPr>
            <w:r w:rsidRPr="001932F2">
              <w:rPr>
                <w:rFonts w:asciiTheme="minorHAnsi" w:hAnsiTheme="minorHAnsi" w:cstheme="minorBidi"/>
                <w:b/>
                <w:bCs/>
                <w:color w:val="auto"/>
                <w:kern w:val="2"/>
                <w:sz w:val="22"/>
                <w:szCs w:val="22"/>
              </w:rPr>
              <w:t>Et pour tous les gestionnaires :</w:t>
            </w:r>
          </w:p>
          <w:p w14:paraId="024A516D" w14:textId="37E441E1" w:rsidR="00D03FEE" w:rsidRDefault="00D03FEE" w:rsidP="4AA610B1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Favoriser les espèces locales et spontanées,</w:t>
            </w:r>
            <w:r w:rsidR="0035492E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notamment en facilitant l’accès aux essences locales Végétal Local (tarifs et quantités).</w:t>
            </w:r>
          </w:p>
          <w:p w14:paraId="56DB8808" w14:textId="57056CDF" w:rsidR="003D1FB6" w:rsidRPr="006A506A" w:rsidRDefault="003D1FB6" w:rsidP="003D1FB6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Tendre vers une gestion des espaces en 0 phyto</w:t>
            </w:r>
            <w:r w:rsidR="006147E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.</w:t>
            </w:r>
          </w:p>
          <w:p w14:paraId="7C3CC0BD" w14:textId="5CF32781" w:rsidR="001932F2" w:rsidRPr="006A506A" w:rsidRDefault="001932F2" w:rsidP="4AA610B1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Identifier dans un but de conservation, les gîtes potentiels, par exemple, laisser des structures permettant aux insectes de passer l’hiver et d’aménager l’espace en créant de nouveaux gîtes</w:t>
            </w:r>
            <w:r w:rsidR="006147E1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.</w:t>
            </w:r>
          </w:p>
          <w:p w14:paraId="41BB0946" w14:textId="10483C07" w:rsidR="001932F2" w:rsidRDefault="001932F2" w:rsidP="003E7E40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Identifier et communiquer sur</w:t>
            </w:r>
            <w:r w:rsidRPr="006A506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les « pièges »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 : </w:t>
            </w:r>
            <w:r w:rsidR="00D03FEE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niveau de pollution trop élevé ou </w:t>
            </w:r>
            <w:r w:rsidRPr="006A506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essences végétales attractives mais nocive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s</w:t>
            </w:r>
            <w:r w:rsidRPr="006A506A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(Exemple : Tilleul argenté)</w:t>
            </w:r>
            <w:r w:rsidR="006147E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.</w:t>
            </w:r>
          </w:p>
          <w:p w14:paraId="3F5F8A96" w14:textId="6C58E46B" w:rsidR="001932F2" w:rsidRDefault="00D03FEE" w:rsidP="003E7E40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I</w:t>
            </w:r>
            <w:r w:rsidR="001932F2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nformer sur les risques et les techniques de gestion 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concernant les</w:t>
            </w:r>
            <w:r w:rsidR="001932F2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espèces exotiques envahissantes</w:t>
            </w:r>
            <w:r w:rsidR="006147E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.</w:t>
            </w:r>
          </w:p>
          <w:p w14:paraId="10E14029" w14:textId="3AA66F01" w:rsidR="0046607B" w:rsidRPr="00060544" w:rsidRDefault="4AA610B1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4AA610B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M</w:t>
            </w:r>
            <w:r w:rsidR="0035492E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ettre en place un accompagnement technique et financier sur le moyen terme (pour la rédaction des cahiers des charges et la réalisation de plans de gestion)</w:t>
            </w:r>
            <w:r w:rsidR="006147E1" w:rsidRPr="4AA610B1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.</w:t>
            </w:r>
          </w:p>
        </w:tc>
      </w:tr>
      <w:tr w:rsidR="0046607B" w14:paraId="31A64B77" w14:textId="77777777" w:rsidTr="4AA610B1">
        <w:tc>
          <w:tcPr>
            <w:tcW w:w="1560" w:type="dxa"/>
            <w:vAlign w:val="center"/>
          </w:tcPr>
          <w:p w14:paraId="0BC8330C" w14:textId="77777777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lastRenderedPageBreak/>
              <w:t>Action(s) associée(s)</w:t>
            </w:r>
          </w:p>
        </w:tc>
        <w:tc>
          <w:tcPr>
            <w:tcW w:w="8505" w:type="dxa"/>
          </w:tcPr>
          <w:p w14:paraId="6FEEDBC8" w14:textId="61803309" w:rsidR="00587964" w:rsidRPr="00616B06" w:rsidRDefault="00587964" w:rsidP="00906905">
            <w:pPr>
              <w:rPr>
                <w:b/>
                <w:bCs/>
              </w:rPr>
            </w:pPr>
            <w:r w:rsidRPr="00616B06">
              <w:rPr>
                <w:b/>
                <w:bCs/>
              </w:rPr>
              <w:t xml:space="preserve">Axe 1 </w:t>
            </w:r>
            <w:r w:rsidR="00BB34D2" w:rsidRPr="00616B06">
              <w:rPr>
                <w:b/>
                <w:bCs/>
              </w:rPr>
              <w:t xml:space="preserve">- </w:t>
            </w:r>
            <w:r w:rsidRPr="00616B06">
              <w:rPr>
                <w:b/>
                <w:bCs/>
              </w:rPr>
              <w:t>action</w:t>
            </w:r>
            <w:r w:rsidR="00BB34D2" w:rsidRPr="00616B06">
              <w:rPr>
                <w:b/>
                <w:bCs/>
              </w:rPr>
              <w:t>s</w:t>
            </w:r>
            <w:r w:rsidRPr="00616B06">
              <w:rPr>
                <w:b/>
                <w:bCs/>
              </w:rPr>
              <w:t xml:space="preserve"> 1 et 2.</w:t>
            </w:r>
          </w:p>
          <w:p w14:paraId="1A5B0A49" w14:textId="286226CA" w:rsidR="0046607B" w:rsidRDefault="00587964" w:rsidP="00906905">
            <w:r w:rsidRPr="00616B06">
              <w:rPr>
                <w:b/>
                <w:bCs/>
              </w:rPr>
              <w:t>Axe 3</w:t>
            </w:r>
            <w:r w:rsidR="00BB34D2" w:rsidRPr="00616B06">
              <w:rPr>
                <w:b/>
                <w:bCs/>
              </w:rPr>
              <w:t xml:space="preserve"> -</w:t>
            </w:r>
            <w:r w:rsidRPr="00616B06">
              <w:rPr>
                <w:b/>
                <w:bCs/>
              </w:rPr>
              <w:t xml:space="preserve"> action</w:t>
            </w:r>
            <w:r w:rsidR="00BB34D2" w:rsidRPr="00616B06">
              <w:rPr>
                <w:b/>
                <w:bCs/>
              </w:rPr>
              <w:t>s</w:t>
            </w:r>
            <w:r w:rsidRPr="00616B06">
              <w:rPr>
                <w:b/>
                <w:bCs/>
              </w:rPr>
              <w:t xml:space="preserve"> 2 et 3.</w:t>
            </w:r>
          </w:p>
        </w:tc>
      </w:tr>
      <w:tr w:rsidR="0046607B" w14:paraId="1A7A76D2" w14:textId="77777777" w:rsidTr="4AA610B1">
        <w:tc>
          <w:tcPr>
            <w:tcW w:w="1560" w:type="dxa"/>
            <w:vAlign w:val="center"/>
          </w:tcPr>
          <w:p w14:paraId="53A9EFDE" w14:textId="77777777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Indicateurs de résultats</w:t>
            </w:r>
          </w:p>
        </w:tc>
        <w:tc>
          <w:tcPr>
            <w:tcW w:w="8505" w:type="dxa"/>
          </w:tcPr>
          <w:p w14:paraId="00FD01E8" w14:textId="607B2ECC" w:rsidR="00EC6B46" w:rsidRDefault="00EC6B46" w:rsidP="00587964">
            <w:pPr>
              <w:pStyle w:val="Paragraphedeliste"/>
              <w:numPr>
                <w:ilvl w:val="0"/>
                <w:numId w:val="7"/>
              </w:numPr>
            </w:pPr>
            <w:r>
              <w:t>Nombre de gestionnaires engagés dans la démarche</w:t>
            </w:r>
            <w:r w:rsidR="00BB34D2">
              <w:t>.</w:t>
            </w:r>
          </w:p>
          <w:p w14:paraId="260B2274" w14:textId="73744BAF" w:rsidR="00587964" w:rsidRDefault="00587964" w:rsidP="00587964">
            <w:pPr>
              <w:pStyle w:val="Paragraphedeliste"/>
              <w:numPr>
                <w:ilvl w:val="0"/>
                <w:numId w:val="7"/>
              </w:numPr>
            </w:pPr>
            <w:r>
              <w:t>Nombre d’inventaires</w:t>
            </w:r>
            <w:r w:rsidR="00985521">
              <w:t>/suivis</w:t>
            </w:r>
            <w:r>
              <w:t xml:space="preserve"> réalisés</w:t>
            </w:r>
            <w:r w:rsidR="00985521">
              <w:t xml:space="preserve"> sur les pollinisateurs</w:t>
            </w:r>
            <w:r w:rsidR="00BB34D2">
              <w:t>.</w:t>
            </w:r>
          </w:p>
          <w:p w14:paraId="1A3FF765" w14:textId="5B3B88C0" w:rsidR="00985521" w:rsidRDefault="4AA610B1" w:rsidP="00937447">
            <w:pPr>
              <w:pStyle w:val="Paragraphedeliste"/>
              <w:numPr>
                <w:ilvl w:val="0"/>
                <w:numId w:val="7"/>
              </w:numPr>
            </w:pPr>
            <w:r>
              <w:t>Nombre d’accompagnements techniques pour chaque type de gestionnaire ou nombre de retours d’expériences / club d’échanges mis en place entre gestionnaire</w:t>
            </w:r>
            <w:r w:rsidR="00CE76FD">
              <w:t>s</w:t>
            </w:r>
            <w:r>
              <w:t>.</w:t>
            </w:r>
          </w:p>
          <w:p w14:paraId="4B0BB062" w14:textId="56A33D45" w:rsidR="009404C2" w:rsidRDefault="00EC6B46" w:rsidP="00906905">
            <w:pPr>
              <w:pStyle w:val="Paragraphedeliste"/>
              <w:numPr>
                <w:ilvl w:val="0"/>
                <w:numId w:val="7"/>
              </w:numPr>
            </w:pPr>
            <w:r>
              <w:t xml:space="preserve">Quantité de végétaux locaux </w:t>
            </w:r>
            <w:r w:rsidR="00025858">
              <w:t xml:space="preserve">et favorables aux pollinisateurs </w:t>
            </w:r>
            <w:r>
              <w:t>vendus et installés dans les nouveaux aménagements</w:t>
            </w:r>
            <w:r w:rsidR="00441D87">
              <w:t>.</w:t>
            </w:r>
          </w:p>
        </w:tc>
      </w:tr>
      <w:tr w:rsidR="0046607B" w14:paraId="7A25EBB5" w14:textId="77777777" w:rsidTr="4AA610B1">
        <w:tc>
          <w:tcPr>
            <w:tcW w:w="1560" w:type="dxa"/>
            <w:vAlign w:val="center"/>
          </w:tcPr>
          <w:p w14:paraId="672D1A3F" w14:textId="77777777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Echelle(s) de travail</w:t>
            </w:r>
          </w:p>
        </w:tc>
        <w:tc>
          <w:tcPr>
            <w:tcW w:w="8505" w:type="dxa"/>
            <w:vAlign w:val="center"/>
          </w:tcPr>
          <w:p w14:paraId="4854D96C" w14:textId="6F5F5D14" w:rsidR="009404C2" w:rsidRDefault="00616B06" w:rsidP="00616B06">
            <w:r>
              <w:t xml:space="preserve">Région </w:t>
            </w:r>
            <w:r w:rsidR="00D03FEE">
              <w:t>Grand Est</w:t>
            </w:r>
          </w:p>
        </w:tc>
      </w:tr>
      <w:tr w:rsidR="0046607B" w14:paraId="14536EE1" w14:textId="77777777" w:rsidTr="4AA610B1">
        <w:tc>
          <w:tcPr>
            <w:tcW w:w="1560" w:type="dxa"/>
            <w:vAlign w:val="center"/>
          </w:tcPr>
          <w:p w14:paraId="1BD0790A" w14:textId="77777777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Evaluation financière</w:t>
            </w:r>
          </w:p>
        </w:tc>
        <w:tc>
          <w:tcPr>
            <w:tcW w:w="8505" w:type="dxa"/>
            <w:vAlign w:val="center"/>
          </w:tcPr>
          <w:p w14:paraId="27C038E5" w14:textId="1BE75934" w:rsidR="00EC6B46" w:rsidRDefault="00E573B3" w:rsidP="00616B06">
            <w:r>
              <w:t>Financements spécifiques à chaque type d’action</w:t>
            </w:r>
          </w:p>
        </w:tc>
      </w:tr>
      <w:tr w:rsidR="0046607B" w14:paraId="6294C436" w14:textId="77777777" w:rsidTr="4AA610B1">
        <w:tc>
          <w:tcPr>
            <w:tcW w:w="1560" w:type="dxa"/>
            <w:vAlign w:val="center"/>
          </w:tcPr>
          <w:p w14:paraId="5FD15E5D" w14:textId="77777777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Pilote(s) de l’action</w:t>
            </w:r>
          </w:p>
        </w:tc>
        <w:tc>
          <w:tcPr>
            <w:tcW w:w="8505" w:type="dxa"/>
            <w:vAlign w:val="center"/>
          </w:tcPr>
          <w:p w14:paraId="7E1E1190" w14:textId="7E40F709" w:rsidR="009404C2" w:rsidRDefault="0078681E" w:rsidP="00616B06">
            <w:proofErr w:type="spellStart"/>
            <w:r>
              <w:t>C</w:t>
            </w:r>
            <w:r w:rsidR="00060544">
              <w:t>erem</w:t>
            </w:r>
            <w:r w:rsidR="00143A17">
              <w:t>a</w:t>
            </w:r>
            <w:proofErr w:type="spellEnd"/>
            <w:r w:rsidR="00143A17">
              <w:t>, FREDON Grand Est</w:t>
            </w:r>
            <w:r w:rsidR="005B0552">
              <w:t xml:space="preserve">, </w:t>
            </w:r>
            <w:proofErr w:type="spellStart"/>
            <w:r w:rsidR="005B0552">
              <w:t>CENs</w:t>
            </w:r>
            <w:proofErr w:type="spellEnd"/>
          </w:p>
        </w:tc>
      </w:tr>
      <w:tr w:rsidR="0046607B" w14:paraId="0F11D460" w14:textId="77777777" w:rsidTr="4AA610B1">
        <w:tc>
          <w:tcPr>
            <w:tcW w:w="1560" w:type="dxa"/>
            <w:vAlign w:val="center"/>
          </w:tcPr>
          <w:p w14:paraId="0038320C" w14:textId="77777777" w:rsidR="0046607B" w:rsidRPr="009404C2" w:rsidRDefault="0046607B" w:rsidP="009404C2">
            <w:pPr>
              <w:jc w:val="center"/>
              <w:rPr>
                <w:b/>
                <w:bCs/>
              </w:rPr>
            </w:pPr>
            <w:r w:rsidRPr="009404C2">
              <w:rPr>
                <w:b/>
                <w:bCs/>
              </w:rPr>
              <w:t>Partenaires potentiels</w:t>
            </w:r>
          </w:p>
        </w:tc>
        <w:tc>
          <w:tcPr>
            <w:tcW w:w="8505" w:type="dxa"/>
            <w:vAlign w:val="center"/>
          </w:tcPr>
          <w:p w14:paraId="06E4B574" w14:textId="0AA8E08F" w:rsidR="009404C2" w:rsidRDefault="00143A17" w:rsidP="00616B06">
            <w:r>
              <w:t xml:space="preserve">Région Grand Est, </w:t>
            </w:r>
            <w:r w:rsidR="447AECF3">
              <w:t>DREAL, OFB, AERM, AESN, Conseils Départementaux, Communes, Aéroports, Golfs, Sociétés d’autoroutes, VNF, SNCF, Gestionnaires d’énergie</w:t>
            </w:r>
            <w:r w:rsidR="00060544">
              <w:t xml:space="preserve">, </w:t>
            </w:r>
            <w:r w:rsidR="00DA2700">
              <w:t>CPIE, RBA,</w:t>
            </w:r>
            <w:r w:rsidR="00D64721">
              <w:t xml:space="preserve"> </w:t>
            </w:r>
            <w:r w:rsidR="00C10C19">
              <w:t xml:space="preserve">CBN, </w:t>
            </w:r>
            <w:proofErr w:type="spellStart"/>
            <w:r w:rsidR="00D64721">
              <w:t>Arthropologia</w:t>
            </w:r>
            <w:proofErr w:type="spellEnd"/>
            <w:r w:rsidR="00D64721">
              <w:t xml:space="preserve">, </w:t>
            </w:r>
            <w:r w:rsidR="00060544">
              <w:t xml:space="preserve">CRAGE, </w:t>
            </w:r>
            <w:r w:rsidR="447AECF3">
              <w:t>…</w:t>
            </w:r>
          </w:p>
        </w:tc>
      </w:tr>
      <w:bookmarkEnd w:id="0"/>
    </w:tbl>
    <w:p w14:paraId="3D58B185" w14:textId="77777777" w:rsidR="00F805B9" w:rsidRDefault="00F805B9" w:rsidP="009404C2"/>
    <w:p w14:paraId="41926958" w14:textId="63E3E529" w:rsidR="00060544" w:rsidRDefault="00060544" w:rsidP="00060544"/>
    <w:sectPr w:rsidR="00060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6624EC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BC5056"/>
    <w:multiLevelType w:val="hybridMultilevel"/>
    <w:tmpl w:val="BDD41A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14F87"/>
    <w:multiLevelType w:val="hybridMultilevel"/>
    <w:tmpl w:val="6C66F1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86962"/>
    <w:multiLevelType w:val="hybridMultilevel"/>
    <w:tmpl w:val="F800A22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E1398"/>
    <w:multiLevelType w:val="hybridMultilevel"/>
    <w:tmpl w:val="C7688108"/>
    <w:lvl w:ilvl="0" w:tplc="E1700D3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F3F4A"/>
    <w:multiLevelType w:val="hybridMultilevel"/>
    <w:tmpl w:val="7412392E"/>
    <w:lvl w:ilvl="0" w:tplc="E1700D3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F1180"/>
    <w:multiLevelType w:val="hybridMultilevel"/>
    <w:tmpl w:val="5D1C785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C3DFB"/>
    <w:multiLevelType w:val="hybridMultilevel"/>
    <w:tmpl w:val="73C6D9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E47FC8"/>
    <w:multiLevelType w:val="hybridMultilevel"/>
    <w:tmpl w:val="883A97F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029A4"/>
    <w:multiLevelType w:val="hybridMultilevel"/>
    <w:tmpl w:val="75F484AC"/>
    <w:lvl w:ilvl="0" w:tplc="E1700D3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1769F0"/>
    <w:multiLevelType w:val="hybridMultilevel"/>
    <w:tmpl w:val="C7267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F97631"/>
    <w:multiLevelType w:val="hybridMultilevel"/>
    <w:tmpl w:val="1D5C9C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47115">
    <w:abstractNumId w:val="3"/>
  </w:num>
  <w:num w:numId="2" w16cid:durableId="2142916148">
    <w:abstractNumId w:val="0"/>
  </w:num>
  <w:num w:numId="3" w16cid:durableId="981009268">
    <w:abstractNumId w:val="9"/>
  </w:num>
  <w:num w:numId="4" w16cid:durableId="1867056701">
    <w:abstractNumId w:val="5"/>
  </w:num>
  <w:num w:numId="5" w16cid:durableId="1500002077">
    <w:abstractNumId w:val="6"/>
  </w:num>
  <w:num w:numId="6" w16cid:durableId="404571906">
    <w:abstractNumId w:val="4"/>
  </w:num>
  <w:num w:numId="7" w16cid:durableId="1858156052">
    <w:abstractNumId w:val="7"/>
  </w:num>
  <w:num w:numId="8" w16cid:durableId="1216239375">
    <w:abstractNumId w:val="1"/>
  </w:num>
  <w:num w:numId="9" w16cid:durableId="1314336714">
    <w:abstractNumId w:val="2"/>
  </w:num>
  <w:num w:numId="10" w16cid:durableId="1248078802">
    <w:abstractNumId w:val="11"/>
  </w:num>
  <w:num w:numId="11" w16cid:durableId="454833950">
    <w:abstractNumId w:val="10"/>
  </w:num>
  <w:num w:numId="12" w16cid:durableId="14691999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979"/>
    <w:rsid w:val="000014A6"/>
    <w:rsid w:val="00015552"/>
    <w:rsid w:val="00022769"/>
    <w:rsid w:val="00025858"/>
    <w:rsid w:val="0003625C"/>
    <w:rsid w:val="00045287"/>
    <w:rsid w:val="00051EE7"/>
    <w:rsid w:val="00060544"/>
    <w:rsid w:val="000C3829"/>
    <w:rsid w:val="000E2F9E"/>
    <w:rsid w:val="000E72A9"/>
    <w:rsid w:val="00110B1E"/>
    <w:rsid w:val="001279A2"/>
    <w:rsid w:val="00143A17"/>
    <w:rsid w:val="001909C8"/>
    <w:rsid w:val="001932F2"/>
    <w:rsid w:val="001E2E50"/>
    <w:rsid w:val="002846C1"/>
    <w:rsid w:val="00285C29"/>
    <w:rsid w:val="002A2E5B"/>
    <w:rsid w:val="002B2E1B"/>
    <w:rsid w:val="002F6CB7"/>
    <w:rsid w:val="003018D0"/>
    <w:rsid w:val="0035492E"/>
    <w:rsid w:val="00360BF1"/>
    <w:rsid w:val="003C7865"/>
    <w:rsid w:val="003D1871"/>
    <w:rsid w:val="003D1FB6"/>
    <w:rsid w:val="003E04E4"/>
    <w:rsid w:val="003E3045"/>
    <w:rsid w:val="003E7E40"/>
    <w:rsid w:val="00414DE2"/>
    <w:rsid w:val="004227E7"/>
    <w:rsid w:val="004362BA"/>
    <w:rsid w:val="00441D87"/>
    <w:rsid w:val="00455B38"/>
    <w:rsid w:val="0046607B"/>
    <w:rsid w:val="004668EF"/>
    <w:rsid w:val="0049060E"/>
    <w:rsid w:val="00491EBC"/>
    <w:rsid w:val="004A54EE"/>
    <w:rsid w:val="004A6ABC"/>
    <w:rsid w:val="004E1A18"/>
    <w:rsid w:val="00566F99"/>
    <w:rsid w:val="00587964"/>
    <w:rsid w:val="005940F3"/>
    <w:rsid w:val="00595613"/>
    <w:rsid w:val="00597540"/>
    <w:rsid w:val="005B0552"/>
    <w:rsid w:val="005D2C02"/>
    <w:rsid w:val="005E5043"/>
    <w:rsid w:val="005F7085"/>
    <w:rsid w:val="0060110E"/>
    <w:rsid w:val="00607ADA"/>
    <w:rsid w:val="00611CA4"/>
    <w:rsid w:val="006147E1"/>
    <w:rsid w:val="00616B06"/>
    <w:rsid w:val="00632B1B"/>
    <w:rsid w:val="00642C23"/>
    <w:rsid w:val="00663AC6"/>
    <w:rsid w:val="00672798"/>
    <w:rsid w:val="00693321"/>
    <w:rsid w:val="006A506A"/>
    <w:rsid w:val="006B5D85"/>
    <w:rsid w:val="006C2010"/>
    <w:rsid w:val="00712D68"/>
    <w:rsid w:val="00745126"/>
    <w:rsid w:val="00756238"/>
    <w:rsid w:val="007706DD"/>
    <w:rsid w:val="007804F6"/>
    <w:rsid w:val="0078681E"/>
    <w:rsid w:val="007A1B65"/>
    <w:rsid w:val="00804C57"/>
    <w:rsid w:val="00822C0D"/>
    <w:rsid w:val="0085154D"/>
    <w:rsid w:val="008C0015"/>
    <w:rsid w:val="00926D03"/>
    <w:rsid w:val="00937447"/>
    <w:rsid w:val="009404C2"/>
    <w:rsid w:val="00963A73"/>
    <w:rsid w:val="00972EA1"/>
    <w:rsid w:val="009743D7"/>
    <w:rsid w:val="00974EA0"/>
    <w:rsid w:val="00985521"/>
    <w:rsid w:val="009A73FB"/>
    <w:rsid w:val="009F0979"/>
    <w:rsid w:val="00A35641"/>
    <w:rsid w:val="00A40E55"/>
    <w:rsid w:val="00A41271"/>
    <w:rsid w:val="00A92900"/>
    <w:rsid w:val="00AA63E4"/>
    <w:rsid w:val="00B00D52"/>
    <w:rsid w:val="00B61EF3"/>
    <w:rsid w:val="00B71C45"/>
    <w:rsid w:val="00BB119A"/>
    <w:rsid w:val="00BB34D2"/>
    <w:rsid w:val="00BC3911"/>
    <w:rsid w:val="00C10C19"/>
    <w:rsid w:val="00C12890"/>
    <w:rsid w:val="00C93E5E"/>
    <w:rsid w:val="00CA2590"/>
    <w:rsid w:val="00CA2E4A"/>
    <w:rsid w:val="00CD6E88"/>
    <w:rsid w:val="00CE3970"/>
    <w:rsid w:val="00CE76FD"/>
    <w:rsid w:val="00D03FEE"/>
    <w:rsid w:val="00D07606"/>
    <w:rsid w:val="00D4184D"/>
    <w:rsid w:val="00D56747"/>
    <w:rsid w:val="00D64721"/>
    <w:rsid w:val="00D85FF2"/>
    <w:rsid w:val="00D8650F"/>
    <w:rsid w:val="00D94225"/>
    <w:rsid w:val="00DA2700"/>
    <w:rsid w:val="00DB072A"/>
    <w:rsid w:val="00E573B3"/>
    <w:rsid w:val="00E91C29"/>
    <w:rsid w:val="00EB27C7"/>
    <w:rsid w:val="00EC6B46"/>
    <w:rsid w:val="00EF5EEC"/>
    <w:rsid w:val="00F40780"/>
    <w:rsid w:val="00F805B9"/>
    <w:rsid w:val="00F87726"/>
    <w:rsid w:val="00F90D8C"/>
    <w:rsid w:val="00FA1B98"/>
    <w:rsid w:val="00FB74B4"/>
    <w:rsid w:val="00FC6588"/>
    <w:rsid w:val="00FF570A"/>
    <w:rsid w:val="00FF6A62"/>
    <w:rsid w:val="2AF0EAE0"/>
    <w:rsid w:val="2EC166B6"/>
    <w:rsid w:val="447AECF3"/>
    <w:rsid w:val="4AA610B1"/>
    <w:rsid w:val="5F364EFE"/>
    <w:rsid w:val="678AEF0A"/>
    <w:rsid w:val="6E1B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C6DC5"/>
  <w15:chartTrackingRefBased/>
  <w15:docId w15:val="{BE3B260F-3414-47F0-BE9A-F778E2188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07B"/>
  </w:style>
  <w:style w:type="paragraph" w:styleId="Titre1">
    <w:name w:val="heading 1"/>
    <w:basedOn w:val="Normal"/>
    <w:next w:val="Normal"/>
    <w:link w:val="Titre1Car"/>
    <w:uiPriority w:val="9"/>
    <w:qFormat/>
    <w:rsid w:val="009F0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F0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F09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F0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F09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F09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F09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F09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F09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F09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F09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F09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F097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F097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F097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F097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F097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F097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F09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F0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F09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F0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F09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F097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F097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F097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F09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F097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F0979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466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27C7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kern w:val="0"/>
      <w:sz w:val="24"/>
      <w:szCs w:val="24"/>
    </w:rPr>
  </w:style>
  <w:style w:type="character" w:styleId="Lienhypertexte">
    <w:name w:val="Hyperlink"/>
    <w:basedOn w:val="Policepardfaut"/>
    <w:uiPriority w:val="99"/>
    <w:semiHidden/>
    <w:unhideWhenUsed/>
    <w:rsid w:val="000E2F9E"/>
    <w:rPr>
      <w:color w:val="0000FF"/>
      <w:u w:val="single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Rvision">
    <w:name w:val="Revision"/>
    <w:hidden/>
    <w:uiPriority w:val="99"/>
    <w:semiHidden/>
    <w:rsid w:val="00D94225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7AD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7AD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58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58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850</Words>
  <Characters>4675</Characters>
  <Application>Microsoft Office Word</Application>
  <DocSecurity>0</DocSecurity>
  <Lines>38</Lines>
  <Paragraphs>11</Paragraphs>
  <ScaleCrop>false</ScaleCrop>
  <Company/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Mélanie CROMBECQUE</dc:creator>
  <cp:keywords/>
  <dc:description/>
  <cp:lastModifiedBy>Mélanie CROMBECQUE</cp:lastModifiedBy>
  <cp:revision>54</cp:revision>
  <cp:lastPrinted>2024-06-26T09:12:00Z</cp:lastPrinted>
  <dcterms:created xsi:type="dcterms:W3CDTF">2024-07-04T09:30:00Z</dcterms:created>
  <dcterms:modified xsi:type="dcterms:W3CDTF">2024-10-04T13:42:00Z</dcterms:modified>
</cp:coreProperties>
</file>